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7A9E5BA"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A65725">
        <w:rPr>
          <w:bCs/>
          <w:noProof w:val="0"/>
          <w:sz w:val="24"/>
          <w:szCs w:val="24"/>
        </w:rPr>
        <w:t>04766</w:t>
      </w:r>
    </w:p>
    <w:p w14:paraId="231362B2" w14:textId="07C02E5A" w:rsidR="00CD4C7B" w:rsidRPr="00B266B0" w:rsidRDefault="00231728" w:rsidP="00CD4C7B">
      <w:pPr>
        <w:pStyle w:val="Header"/>
        <w:tabs>
          <w:tab w:val="right" w:pos="9639"/>
        </w:tabs>
        <w:rPr>
          <w:bCs/>
          <w:noProof w:val="0"/>
          <w:sz w:val="24"/>
          <w:szCs w:val="24"/>
        </w:rPr>
      </w:pPr>
      <w:r w:rsidRPr="00231728">
        <w:rPr>
          <w:rFonts w:eastAsia="SimSun"/>
          <w:noProof w:val="0"/>
          <w:sz w:val="24"/>
          <w:szCs w:val="24"/>
          <w:lang w:eastAsia="zh-CN"/>
        </w:rPr>
        <w:t>Sanya, China, 16</w:t>
      </w:r>
      <w:r w:rsidRPr="00231728">
        <w:rPr>
          <w:rFonts w:eastAsia="SimSun"/>
          <w:noProof w:val="0"/>
          <w:sz w:val="24"/>
          <w:szCs w:val="24"/>
          <w:vertAlign w:val="superscript"/>
          <w:lang w:eastAsia="zh-CN"/>
        </w:rPr>
        <w:t>th</w:t>
      </w:r>
      <w:r w:rsidRPr="00231728">
        <w:rPr>
          <w:rFonts w:eastAsia="SimSun"/>
          <w:noProof w:val="0"/>
          <w:sz w:val="24"/>
          <w:szCs w:val="24"/>
          <w:lang w:eastAsia="zh-CN"/>
        </w:rPr>
        <w:t xml:space="preserve"> - 20</w:t>
      </w:r>
      <w:r w:rsidRPr="00231728">
        <w:rPr>
          <w:rFonts w:eastAsia="SimSun"/>
          <w:noProof w:val="0"/>
          <w:sz w:val="24"/>
          <w:szCs w:val="24"/>
          <w:vertAlign w:val="superscript"/>
          <w:lang w:eastAsia="zh-CN"/>
        </w:rPr>
        <w:t>th</w:t>
      </w:r>
      <w:r>
        <w:rPr>
          <w:rFonts w:eastAsia="SimSun"/>
          <w:noProof w:val="0"/>
          <w:sz w:val="24"/>
          <w:szCs w:val="24"/>
          <w:lang w:eastAsia="zh-CN"/>
        </w:rPr>
        <w:t xml:space="preserve"> </w:t>
      </w:r>
      <w:r w:rsidRPr="00231728">
        <w:rPr>
          <w:rFonts w:eastAsia="SimSun"/>
          <w:noProof w:val="0"/>
          <w:sz w:val="24"/>
          <w:szCs w:val="24"/>
          <w:lang w:eastAsia="zh-CN"/>
        </w:rPr>
        <w:t>April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4D7C76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20165">
        <w:rPr>
          <w:rFonts w:cs="Arial"/>
          <w:b/>
          <w:bCs/>
          <w:sz w:val="24"/>
        </w:rPr>
        <w:t>9.9.2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42CEBDD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F0A3D">
        <w:rPr>
          <w:rFonts w:ascii="Arial" w:hAnsi="Arial" w:cs="Arial"/>
          <w:b/>
          <w:bCs/>
          <w:sz w:val="24"/>
        </w:rPr>
        <w:t>Reporting</w:t>
      </w:r>
      <w:r w:rsidR="00020165" w:rsidRPr="00020165">
        <w:rPr>
          <w:rFonts w:ascii="Arial" w:hAnsi="Arial" w:cs="Arial"/>
          <w:b/>
          <w:bCs/>
          <w:sz w:val="24"/>
        </w:rPr>
        <w:t xml:space="preserve"> of IDLE mode measurements</w:t>
      </w:r>
    </w:p>
    <w:p w14:paraId="3AC3A0B1" w14:textId="77A991A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54C67">
        <w:rPr>
          <w:rFonts w:ascii="Arial" w:hAnsi="Arial" w:cs="Arial"/>
          <w:b/>
          <w:bCs/>
          <w:sz w:val="24"/>
        </w:rPr>
        <w:t>LTE</w:t>
      </w:r>
      <w:r w:rsidR="00112F1A" w:rsidRPr="00112F1A">
        <w:rPr>
          <w:rFonts w:ascii="Arial" w:hAnsi="Arial" w:cs="Arial"/>
          <w:b/>
          <w:bCs/>
          <w:sz w:val="24"/>
        </w:rPr>
        <w:t>_</w:t>
      </w:r>
      <w:r w:rsidR="00154C67">
        <w:rPr>
          <w:rFonts w:ascii="Arial" w:hAnsi="Arial" w:cs="Arial"/>
          <w:b/>
          <w:bCs/>
          <w:sz w:val="24"/>
        </w:rPr>
        <w:t>euCA</w:t>
      </w:r>
      <w:r w:rsidR="00112F1A" w:rsidRPr="00112F1A">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9406F83" w:rsidR="00CD4C7B" w:rsidRDefault="00020165" w:rsidP="00CD4C7B">
      <w:r>
        <w:t xml:space="preserve">This contribution discusses </w:t>
      </w:r>
      <w:r w:rsidR="00C5794E">
        <w:t>how the reporting of the IDLE mode measurements is done. Specifically, the contribution focuses on the RRC signalling options given the decisions to always do the reporting after security activation and always only on the request of the eNB.</w:t>
      </w:r>
    </w:p>
    <w:p w14:paraId="69EE901C" w14:textId="3A863BFE" w:rsidR="00FC3A48" w:rsidRDefault="00D41D07" w:rsidP="002C62EF">
      <w:pPr>
        <w:rPr>
          <w:lang w:val="en-US"/>
        </w:rPr>
      </w:pPr>
      <w:r>
        <w:rPr>
          <w:lang w:val="en-US"/>
        </w:rPr>
        <w:t>In RAN2#99</w:t>
      </w:r>
      <w:r w:rsidR="0059049D">
        <w:rPr>
          <w:lang w:val="en-US"/>
        </w:rPr>
        <w:t>,</w:t>
      </w:r>
      <w:r>
        <w:rPr>
          <w:lang w:val="en-US"/>
        </w:rPr>
        <w:t xml:space="preserve"> the following agreements were reached:</w:t>
      </w:r>
    </w:p>
    <w:tbl>
      <w:tblPr>
        <w:tblStyle w:val="TableGrid"/>
        <w:tblW w:w="0" w:type="auto"/>
        <w:tblLook w:val="04A0" w:firstRow="1" w:lastRow="0" w:firstColumn="1" w:lastColumn="0" w:noHBand="0" w:noVBand="1"/>
      </w:tblPr>
      <w:tblGrid>
        <w:gridCol w:w="9631"/>
      </w:tblGrid>
      <w:tr w:rsidR="00FC3A48" w14:paraId="09F31717" w14:textId="77777777" w:rsidTr="00FC3A48">
        <w:tc>
          <w:tcPr>
            <w:tcW w:w="9631" w:type="dxa"/>
          </w:tcPr>
          <w:p w14:paraId="4DDFE257" w14:textId="059BE64A" w:rsidR="00FC3A48" w:rsidRPr="00FC3A48" w:rsidRDefault="00FC3A48" w:rsidP="00FC3A48">
            <w:pPr>
              <w:rPr>
                <w:lang w:val="fi-FI"/>
              </w:rPr>
            </w:pPr>
            <w:r>
              <w:rPr>
                <w:lang w:val="fi-FI"/>
              </w:rPr>
              <w:t>Agreements:</w:t>
            </w:r>
          </w:p>
          <w:p w14:paraId="7C146FDA" w14:textId="6B2A392A" w:rsidR="007A7D76" w:rsidRPr="00FC3A48" w:rsidRDefault="002C3E54" w:rsidP="00FC3A48">
            <w:pPr>
              <w:numPr>
                <w:ilvl w:val="0"/>
                <w:numId w:val="6"/>
              </w:numPr>
              <w:rPr>
                <w:lang w:val="fi-FI"/>
              </w:rPr>
            </w:pPr>
            <w:r w:rsidRPr="00FC3A48">
              <w:t>1</w:t>
            </w:r>
            <w:r w:rsidRPr="00FC3A48">
              <w:tab/>
              <w:t>UE can be indicated an inter-frequency carrier to measure during the idle state. The inter-frequency measurement operation and requirement is FFS. How fast to report the measurement is FFS. The security issue of report is FFS.</w:t>
            </w:r>
          </w:p>
          <w:p w14:paraId="38AAC277" w14:textId="54E4165E" w:rsidR="00FC3A48" w:rsidRPr="00FC3A48" w:rsidRDefault="002C3E54" w:rsidP="002C62EF">
            <w:pPr>
              <w:numPr>
                <w:ilvl w:val="0"/>
                <w:numId w:val="6"/>
              </w:numPr>
              <w:rPr>
                <w:lang w:val="en-US"/>
              </w:rPr>
            </w:pPr>
            <w:r w:rsidRPr="00FC3A48">
              <w:t>2</w:t>
            </w:r>
            <w:r w:rsidRPr="00FC3A48">
              <w:tab/>
              <w:t xml:space="preserve">It is FFS on whether configuring a SCell to be directly in active state at RRC reconfiguration. </w:t>
            </w:r>
          </w:p>
        </w:tc>
      </w:tr>
    </w:tbl>
    <w:p w14:paraId="4F52827A" w14:textId="67E2FB9E" w:rsidR="00D41D07" w:rsidRDefault="00D41D07" w:rsidP="002C62EF">
      <w:pPr>
        <w:rPr>
          <w:lang w:val="en-US"/>
        </w:rPr>
      </w:pPr>
    </w:p>
    <w:p w14:paraId="09DBD03E" w14:textId="7E7ABDE9" w:rsidR="00D47842" w:rsidRDefault="00D47842" w:rsidP="002C62EF">
      <w:pPr>
        <w:rPr>
          <w:lang w:val="en-US"/>
        </w:rPr>
      </w:pPr>
      <w:r>
        <w:rPr>
          <w:lang w:val="en-US"/>
        </w:rPr>
        <w:t>In RAN2#99b</w:t>
      </w:r>
      <w:r w:rsidR="0059049D">
        <w:rPr>
          <w:lang w:val="en-US"/>
        </w:rPr>
        <w:t>is,</w:t>
      </w:r>
      <w:r>
        <w:rPr>
          <w:lang w:val="en-US"/>
        </w:rPr>
        <w:t xml:space="preserve"> the following agreements were reached:</w:t>
      </w:r>
    </w:p>
    <w:tbl>
      <w:tblPr>
        <w:tblStyle w:val="TableGrid"/>
        <w:tblW w:w="0" w:type="auto"/>
        <w:tblLook w:val="04A0" w:firstRow="1" w:lastRow="0" w:firstColumn="1" w:lastColumn="0" w:noHBand="0" w:noVBand="1"/>
      </w:tblPr>
      <w:tblGrid>
        <w:gridCol w:w="9631"/>
      </w:tblGrid>
      <w:tr w:rsidR="00D41D07" w14:paraId="0F229ADF" w14:textId="77777777" w:rsidTr="00D41D07">
        <w:tc>
          <w:tcPr>
            <w:tcW w:w="9631" w:type="dxa"/>
          </w:tcPr>
          <w:p w14:paraId="0E8CC88E" w14:textId="5FA67B60" w:rsidR="00D41D07" w:rsidRPr="00D41D07" w:rsidRDefault="00D41D07" w:rsidP="00D41D07">
            <w:pPr>
              <w:rPr>
                <w:lang w:val="fi-FI"/>
              </w:rPr>
            </w:pPr>
            <w:r>
              <w:rPr>
                <w:lang w:val="fi-FI"/>
              </w:rPr>
              <w:t>Agreements:</w:t>
            </w:r>
          </w:p>
          <w:p w14:paraId="411DFE49" w14:textId="6ECECC9E" w:rsidR="007A7D76" w:rsidRPr="00D41D07" w:rsidRDefault="002C3E54" w:rsidP="00D41D07">
            <w:pPr>
              <w:numPr>
                <w:ilvl w:val="0"/>
                <w:numId w:val="5"/>
              </w:numPr>
              <w:rPr>
                <w:lang w:val="en-US"/>
              </w:rPr>
            </w:pPr>
            <w:r w:rsidRPr="00D41D07">
              <w:t>The indication for which carrier(s) UE could do the IDLE measurements is included in SIB5 and dedicated RRC signalling (including the valid timer). FFS the value range of the timer.</w:t>
            </w:r>
          </w:p>
          <w:p w14:paraId="7AB50F8D" w14:textId="5D8C6A17" w:rsidR="00D41D07" w:rsidRPr="00D41D07" w:rsidRDefault="002C3E54" w:rsidP="002C62EF">
            <w:pPr>
              <w:numPr>
                <w:ilvl w:val="0"/>
                <w:numId w:val="5"/>
              </w:numPr>
              <w:rPr>
                <w:lang w:val="en-US"/>
              </w:rPr>
            </w:pPr>
            <w:r w:rsidRPr="00D41D07">
              <w:t>2</w:t>
            </w:r>
            <w:r w:rsidRPr="00D41D07">
              <w:tab/>
              <w:t xml:space="preserve">UE indicates the availability of inter-frequency measurements in </w:t>
            </w:r>
            <w:r w:rsidRPr="00D41D07">
              <w:rPr>
                <w:i/>
                <w:iCs/>
              </w:rPr>
              <w:t>RRCConnectionSetupComplete</w:t>
            </w:r>
            <w:r w:rsidRPr="00D41D07">
              <w:t xml:space="preserve"> or </w:t>
            </w:r>
            <w:r w:rsidRPr="00D41D07">
              <w:rPr>
                <w:i/>
                <w:iCs/>
              </w:rPr>
              <w:t>RRCConnectionResumeComplete</w:t>
            </w:r>
          </w:p>
        </w:tc>
      </w:tr>
    </w:tbl>
    <w:p w14:paraId="4AA06F2B" w14:textId="67A49AD7" w:rsidR="00D41D07" w:rsidRDefault="00D41D07" w:rsidP="002C62EF">
      <w:pPr>
        <w:rPr>
          <w:lang w:val="en-US"/>
        </w:rPr>
      </w:pPr>
    </w:p>
    <w:p w14:paraId="30D51362" w14:textId="56BF37C6" w:rsidR="00AE3473" w:rsidRDefault="00AE3473" w:rsidP="002C62EF">
      <w:pPr>
        <w:rPr>
          <w:lang w:val="en-US"/>
        </w:rPr>
      </w:pPr>
      <w:r>
        <w:rPr>
          <w:lang w:val="en-US"/>
        </w:rPr>
        <w:t xml:space="preserve">In RAN2#100, the following </w:t>
      </w:r>
      <w:r w:rsidR="00AE2FCD">
        <w:rPr>
          <w:lang w:val="en-US"/>
        </w:rPr>
        <w:t xml:space="preserve">main </w:t>
      </w:r>
      <w:r>
        <w:rPr>
          <w:lang w:val="en-US"/>
        </w:rPr>
        <w:t>agreements were done:</w:t>
      </w:r>
    </w:p>
    <w:tbl>
      <w:tblPr>
        <w:tblStyle w:val="TableGrid"/>
        <w:tblW w:w="0" w:type="auto"/>
        <w:tblLook w:val="04A0" w:firstRow="1" w:lastRow="0" w:firstColumn="1" w:lastColumn="0" w:noHBand="0" w:noVBand="1"/>
      </w:tblPr>
      <w:tblGrid>
        <w:gridCol w:w="9631"/>
      </w:tblGrid>
      <w:tr w:rsidR="00AE3473" w14:paraId="2A5C122D" w14:textId="77777777" w:rsidTr="00AE3473">
        <w:tc>
          <w:tcPr>
            <w:tcW w:w="9631" w:type="dxa"/>
          </w:tcPr>
          <w:p w14:paraId="37FD26E3" w14:textId="6982299C" w:rsidR="00AE3473" w:rsidRPr="00AE3473" w:rsidRDefault="00AE3473" w:rsidP="00AE3473">
            <w:pPr>
              <w:rPr>
                <w:lang w:val="en-US"/>
              </w:rPr>
            </w:pPr>
            <w:r>
              <w:rPr>
                <w:lang w:val="en-US"/>
              </w:rPr>
              <w:t>Agreements:</w:t>
            </w:r>
          </w:p>
          <w:p w14:paraId="6FFD9470" w14:textId="06745568" w:rsidR="007A7D76" w:rsidRPr="00AE3473" w:rsidRDefault="002C3E54" w:rsidP="00AE3473">
            <w:pPr>
              <w:numPr>
                <w:ilvl w:val="0"/>
                <w:numId w:val="7"/>
              </w:numPr>
              <w:rPr>
                <w:lang w:val="en-US"/>
              </w:rPr>
            </w:pPr>
            <w:r w:rsidRPr="00AE3473">
              <w:t>The following behaviour is to adopt for reporting of the IDLE mode measurements:</w:t>
            </w:r>
          </w:p>
          <w:p w14:paraId="3AE2D041" w14:textId="6E347D3A" w:rsidR="00AE3473" w:rsidRDefault="00AE3473" w:rsidP="00AE3473">
            <w:pPr>
              <w:rPr>
                <w:lang w:val="en-US"/>
              </w:rPr>
            </w:pPr>
            <w:r w:rsidRPr="00AE3473">
              <w:t>      The UE waits for an explicit eNB-request for the IDLE mode measurements. The measurements should be reported after security establishment.</w:t>
            </w:r>
          </w:p>
        </w:tc>
      </w:tr>
    </w:tbl>
    <w:p w14:paraId="10CA7FD6" w14:textId="77777777" w:rsidR="00AE3473" w:rsidRDefault="00AE3473" w:rsidP="002C62EF">
      <w:pPr>
        <w:rPr>
          <w:lang w:val="en-US"/>
        </w:rPr>
      </w:pPr>
    </w:p>
    <w:p w14:paraId="7AE8BEF3" w14:textId="7AEA69C3" w:rsidR="00D41D07" w:rsidRPr="00D41D07" w:rsidRDefault="00A57D58" w:rsidP="002C62EF">
      <w:pPr>
        <w:rPr>
          <w:lang w:val="en-US"/>
        </w:rPr>
      </w:pPr>
      <w:r>
        <w:t>This contribution discusses how the reporting of the IDLE mode measurements is done. Specifically, the contribution focuses on the RRC signalling options given the decisions to always do the reporting after security activation and always only on the request of the eNB</w:t>
      </w:r>
      <w:r w:rsidR="003A3899">
        <w:t>.</w:t>
      </w:r>
    </w:p>
    <w:p w14:paraId="127ACA6D" w14:textId="2962D445" w:rsidR="00CD4C7B" w:rsidRPr="006E13D1" w:rsidRDefault="00CD4C7B" w:rsidP="00CD4C7B">
      <w:pPr>
        <w:pStyle w:val="Heading1"/>
      </w:pPr>
      <w:r w:rsidRPr="006E13D1">
        <w:lastRenderedPageBreak/>
        <w:t>2</w:t>
      </w:r>
      <w:r w:rsidRPr="006E13D1">
        <w:tab/>
      </w:r>
      <w:r w:rsidR="00C5794E">
        <w:t>Reporting</w:t>
      </w:r>
      <w:r w:rsidR="00020165">
        <w:t xml:space="preserve"> of IDLE mode measurements</w:t>
      </w:r>
    </w:p>
    <w:p w14:paraId="1EBAAC56" w14:textId="1BC5C978" w:rsidR="00020165" w:rsidRPr="006E13D1" w:rsidRDefault="00020165" w:rsidP="00020165">
      <w:pPr>
        <w:pStyle w:val="Heading2"/>
      </w:pPr>
      <w:r>
        <w:t>2</w:t>
      </w:r>
      <w:r w:rsidR="00C5794E">
        <w:t>.</w:t>
      </w:r>
      <w:r w:rsidR="00047018">
        <w:t>1</w:t>
      </w:r>
      <w:r w:rsidRPr="006E13D1">
        <w:tab/>
      </w:r>
      <w:r w:rsidR="00C5794E">
        <w:t xml:space="preserve">Requesting and reporting the </w:t>
      </w:r>
      <w:r>
        <w:t>IDLE mode measurements</w:t>
      </w:r>
    </w:p>
    <w:p w14:paraId="6E3FE8F0" w14:textId="7F95FE9B" w:rsidR="0078608C" w:rsidRDefault="00047018" w:rsidP="00CD4C7B">
      <w:r>
        <w:t xml:space="preserve">Once eNB knows of the UE’s IDLE mode measurement availability, it has to query the measurements, which is done only after security establishment. The simplest way to do this </w:t>
      </w:r>
      <w:r w:rsidR="0078608C">
        <w:t xml:space="preserve">would be to reuse the </w:t>
      </w:r>
      <w:r w:rsidR="00551DF5" w:rsidRPr="00047018">
        <w:rPr>
          <w:i/>
        </w:rPr>
        <w:t>UEInformationRequest/UEInformationResponse</w:t>
      </w:r>
      <w:r w:rsidR="00551DF5">
        <w:t xml:space="preserve"> framework</w:t>
      </w:r>
      <w:r>
        <w:t xml:space="preserve"> by adding the IDLE mode measurement reporting to the message</w:t>
      </w:r>
      <w:r w:rsidR="00551DF5">
        <w:t>.</w:t>
      </w:r>
      <w:r w:rsidR="007F5367">
        <w:t xml:space="preserve"> </w:t>
      </w:r>
    </w:p>
    <w:p w14:paraId="1CA6AC37" w14:textId="2133B14E" w:rsidR="00E225A9" w:rsidRDefault="00E225A9" w:rsidP="00CD4C7B">
      <w:r w:rsidRPr="00E225A9">
        <w:rPr>
          <w:b/>
        </w:rPr>
        <w:t>Proposal</w:t>
      </w:r>
      <w:r w:rsidR="00047018">
        <w:rPr>
          <w:b/>
        </w:rPr>
        <w:t xml:space="preserve"> 1</w:t>
      </w:r>
      <w:r w:rsidRPr="00E225A9">
        <w:rPr>
          <w:b/>
        </w:rPr>
        <w:t>:</w:t>
      </w:r>
      <w:r>
        <w:t xml:space="preserve"> S</w:t>
      </w:r>
      <w:r w:rsidRPr="00E225A9">
        <w:t xml:space="preserve">ignalling of the SCell measurement information from during IDLE </w:t>
      </w:r>
      <w:r>
        <w:t xml:space="preserve">mode </w:t>
      </w:r>
      <w:r w:rsidR="004E0EBE">
        <w:t>takes place</w:t>
      </w:r>
      <w:r>
        <w:t xml:space="preserve"> as </w:t>
      </w:r>
      <w:r w:rsidRPr="00E225A9">
        <w:t>part of UE information procedure (</w:t>
      </w:r>
      <w:r w:rsidRPr="003C4387">
        <w:rPr>
          <w:i/>
        </w:rPr>
        <w:t>UEInformationRequest</w:t>
      </w:r>
      <w:r w:rsidRPr="00E225A9">
        <w:t xml:space="preserve"> and </w:t>
      </w:r>
      <w:r w:rsidRPr="003C4387">
        <w:rPr>
          <w:i/>
        </w:rPr>
        <w:t>UEInformationResponse</w:t>
      </w:r>
      <w:r w:rsidRPr="00E225A9">
        <w:t xml:space="preserve"> messaging) after the RR</w:t>
      </w:r>
      <w:r>
        <w:t>C connection was established.</w:t>
      </w:r>
    </w:p>
    <w:p w14:paraId="73E70A73" w14:textId="38556D08" w:rsidR="00020165" w:rsidRPr="006E13D1" w:rsidRDefault="00020165" w:rsidP="00020165">
      <w:pPr>
        <w:pStyle w:val="Heading2"/>
      </w:pPr>
      <w:r>
        <w:t>2</w:t>
      </w:r>
      <w:r w:rsidRPr="006E13D1">
        <w:t>.</w:t>
      </w:r>
      <w:r w:rsidR="00047018">
        <w:t>2</w:t>
      </w:r>
      <w:r w:rsidRPr="006E13D1">
        <w:tab/>
      </w:r>
      <w:r w:rsidR="00C5794E">
        <w:t>Estimating the delay for the measurement availability</w:t>
      </w:r>
      <w:r>
        <w:t xml:space="preserve"> </w:t>
      </w:r>
    </w:p>
    <w:p w14:paraId="4A3CE3C2" w14:textId="672EC072" w:rsidR="009253AB" w:rsidRDefault="00047018" w:rsidP="009253AB">
      <w:r>
        <w:t xml:space="preserve">In [2], we had estimated the </w:t>
      </w:r>
      <w:r w:rsidR="009253AB">
        <w:t xml:space="preserve">delay in setting up the SCell </w:t>
      </w:r>
      <w:r>
        <w:t>for</w:t>
      </w:r>
      <w:r w:rsidR="00A65725">
        <w:t xml:space="preserve"> LTE </w:t>
      </w:r>
      <w:r>
        <w:t xml:space="preserve">Rel-14, which is also </w:t>
      </w:r>
      <w:r w:rsidR="000E4CB9" w:rsidRPr="00047018">
        <w:t>illustrated in</w:t>
      </w:r>
      <w:r w:rsidR="009253AB" w:rsidRPr="00047018">
        <w:t xml:space="preserve"> Figure 1</w:t>
      </w:r>
      <w:r w:rsidR="000E4CB9" w:rsidRPr="00047018">
        <w:t xml:space="preserve"> </w:t>
      </w:r>
      <w:r w:rsidRPr="00047018">
        <w:t>below</w:t>
      </w:r>
      <w:r w:rsidR="009253AB" w:rsidRPr="00047018">
        <w:t>:</w:t>
      </w:r>
    </w:p>
    <w:p w14:paraId="7EB41096" w14:textId="4F36D32E" w:rsidR="009253AB" w:rsidRDefault="0078531F" w:rsidP="009253AB">
      <w:pPr>
        <w:keepNext/>
      </w:pPr>
      <w:r>
        <w:rPr>
          <w:noProof/>
        </w:rPr>
        <w:drawing>
          <wp:inline distT="0" distB="0" distL="0" distR="0" wp14:anchorId="1C9EBD8A" wp14:editId="7C4194D2">
            <wp:extent cx="6250924" cy="19354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3390" cy="1939340"/>
                    </a:xfrm>
                    <a:prstGeom prst="rect">
                      <a:avLst/>
                    </a:prstGeom>
                    <a:noFill/>
                  </pic:spPr>
                </pic:pic>
              </a:graphicData>
            </a:graphic>
          </wp:inline>
        </w:drawing>
      </w:r>
    </w:p>
    <w:p w14:paraId="78985594" w14:textId="533E316F" w:rsidR="009253AB" w:rsidRDefault="009253AB" w:rsidP="009253AB">
      <w:pPr>
        <w:pStyle w:val="Caption"/>
        <w:jc w:val="center"/>
      </w:pPr>
      <w:bookmarkStart w:id="0" w:name="_Ref510259694"/>
      <w:r>
        <w:t xml:space="preserve">Figure </w:t>
      </w:r>
      <w:fldSimple w:instr=" SEQ Figure \* ARABIC ">
        <w:r w:rsidR="00DD6EFC">
          <w:rPr>
            <w:noProof/>
          </w:rPr>
          <w:t>1</w:t>
        </w:r>
      </w:fldSimple>
      <w:bookmarkEnd w:id="0"/>
      <w:r>
        <w:t xml:space="preserve"> Rel-14 LTE SCell setup delay approximation</w:t>
      </w:r>
    </w:p>
    <w:p w14:paraId="068E8B96" w14:textId="6FBB3430" w:rsidR="009253AB" w:rsidRDefault="009253AB" w:rsidP="009253AB">
      <w:r>
        <w:t xml:space="preserve">Now, </w:t>
      </w:r>
      <w:r w:rsidR="00A65725">
        <w:t>considering</w:t>
      </w:r>
      <w:r>
        <w:t xml:space="preserve"> all </w:t>
      </w:r>
      <w:r w:rsidR="00A65725">
        <w:t xml:space="preserve">the </w:t>
      </w:r>
      <w:r>
        <w:t>agreements</w:t>
      </w:r>
      <w:r w:rsidR="00E5472F">
        <w:t xml:space="preserve"> </w:t>
      </w:r>
      <w:r w:rsidR="00047018">
        <w:t xml:space="preserve">done (so far) </w:t>
      </w:r>
      <w:r w:rsidR="00E5472F">
        <w:t xml:space="preserve">during the euCA WI </w:t>
      </w:r>
      <w:r w:rsidR="00E5472F">
        <w:fldChar w:fldCharType="begin"/>
      </w:r>
      <w:r w:rsidR="00E5472F">
        <w:instrText xml:space="preserve"> REF _Ref510250010 \r \h </w:instrText>
      </w:r>
      <w:r w:rsidR="00E5472F">
        <w:fldChar w:fldCharType="separate"/>
      </w:r>
      <w:r w:rsidR="00E5472F">
        <w:t>[1]</w:t>
      </w:r>
      <w:r w:rsidR="00E5472F">
        <w:fldChar w:fldCharType="end"/>
      </w:r>
      <w:r>
        <w:t xml:space="preserve">, the delay of setting up SCell </w:t>
      </w:r>
      <w:r w:rsidR="00047018">
        <w:t xml:space="preserve">in </w:t>
      </w:r>
      <w:r w:rsidR="00A65725">
        <w:t xml:space="preserve">LTE </w:t>
      </w:r>
      <w:r w:rsidR="00047018">
        <w:t xml:space="preserve">Rel-15 </w:t>
      </w:r>
      <w:r>
        <w:t>can be approximated as follows:</w:t>
      </w:r>
    </w:p>
    <w:p w14:paraId="7513CCB1" w14:textId="77777777" w:rsidR="00DD6EFC" w:rsidRDefault="00DD6EFC" w:rsidP="00DD6EFC">
      <w:pPr>
        <w:keepNext/>
      </w:pPr>
      <w:r>
        <w:rPr>
          <w:noProof/>
        </w:rPr>
        <w:drawing>
          <wp:inline distT="0" distB="0" distL="0" distR="0" wp14:anchorId="2C240B05" wp14:editId="3396A112">
            <wp:extent cx="5943600" cy="149197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94887" cy="1504848"/>
                    </a:xfrm>
                    <a:prstGeom prst="rect">
                      <a:avLst/>
                    </a:prstGeom>
                    <a:noFill/>
                  </pic:spPr>
                </pic:pic>
              </a:graphicData>
            </a:graphic>
          </wp:inline>
        </w:drawing>
      </w:r>
    </w:p>
    <w:p w14:paraId="6F22C2BC" w14:textId="040FB056" w:rsidR="009253AB" w:rsidRDefault="00DD6EFC" w:rsidP="00DD6EFC">
      <w:pPr>
        <w:pStyle w:val="Caption"/>
        <w:jc w:val="center"/>
      </w:pPr>
      <w:bookmarkStart w:id="1" w:name="_Ref510259710"/>
      <w:r>
        <w:t xml:space="preserve">Figure </w:t>
      </w:r>
      <w:fldSimple w:instr=" SEQ Figure \* ARABIC ">
        <w:r>
          <w:rPr>
            <w:noProof/>
          </w:rPr>
          <w:t>2</w:t>
        </w:r>
      </w:fldSimple>
      <w:bookmarkEnd w:id="1"/>
      <w:r>
        <w:t xml:space="preserve"> Rel-15 LTE Scell setup delay approximation</w:t>
      </w:r>
    </w:p>
    <w:p w14:paraId="3F9A08D1" w14:textId="630B434D" w:rsidR="009253AB" w:rsidRDefault="00D141B3" w:rsidP="009253AB">
      <w:r>
        <w:t>Comparing Rel-14 vs. Rel-15 SCell set-up delay potential saving, we can observe that there is at minimum a delay gain of ~520ms. This of course depends on how many different frequency layers for neighbour cells are configured for UE to measure while in IDLE. The higher the inter-f layers, the larger the SCell set-up delay.</w:t>
      </w:r>
      <w:r w:rsidR="0047713C">
        <w:t xml:space="preserve"> </w:t>
      </w:r>
    </w:p>
    <w:p w14:paraId="4221BE69" w14:textId="5F087D21" w:rsidR="00A65725" w:rsidRDefault="00A65725" w:rsidP="009253AB">
      <w:r w:rsidRPr="003C4387">
        <w:rPr>
          <w:b/>
        </w:rPr>
        <w:t>Observation 1:</w:t>
      </w:r>
      <w:r>
        <w:t xml:space="preserve"> The delay improvement of LTE Rel-15 over LTE Rel-14 is ~520ms.</w:t>
      </w:r>
      <w:bookmarkStart w:id="2" w:name="_GoBack"/>
    </w:p>
    <w:bookmarkEnd w:id="2"/>
    <w:p w14:paraId="63B5478F" w14:textId="2002764E" w:rsidR="003C4387" w:rsidRPr="009253AB" w:rsidRDefault="003C4387" w:rsidP="009253AB">
      <w:r>
        <w:t>Based on the results shown earlier, the gains from the IDLE mode measurements are still valid with ~100ms delay for CA activation, so it appears that the main objective can be met with the agreed proposals.</w:t>
      </w:r>
    </w:p>
    <w:p w14:paraId="43A12B72" w14:textId="5D593E45" w:rsidR="00CD4C7B" w:rsidRPr="006E13D1" w:rsidRDefault="00020165" w:rsidP="00CD4C7B">
      <w:pPr>
        <w:pStyle w:val="Heading1"/>
      </w:pPr>
      <w:r>
        <w:t>3</w:t>
      </w:r>
      <w:r w:rsidR="00CD4C7B" w:rsidRPr="006E13D1">
        <w:tab/>
      </w:r>
      <w:r>
        <w:t>Conclusions</w:t>
      </w:r>
    </w:p>
    <w:p w14:paraId="57D6738A" w14:textId="77777777" w:rsidR="00A65725" w:rsidRPr="009253AB" w:rsidRDefault="00A65725" w:rsidP="00A65725">
      <w:r w:rsidRPr="00AF0E97">
        <w:rPr>
          <w:b/>
        </w:rPr>
        <w:t>Observation 1:</w:t>
      </w:r>
      <w:r>
        <w:t xml:space="preserve"> The delay improvement of LTE Rel-15 over LTE Rel-14 is ~520ms.</w:t>
      </w:r>
    </w:p>
    <w:p w14:paraId="576B5292" w14:textId="77777777" w:rsidR="00A65725" w:rsidRDefault="00A65725" w:rsidP="00A65725">
      <w:r w:rsidRPr="00E225A9">
        <w:rPr>
          <w:b/>
        </w:rPr>
        <w:lastRenderedPageBreak/>
        <w:t>Proposal</w:t>
      </w:r>
      <w:r>
        <w:rPr>
          <w:b/>
        </w:rPr>
        <w:t xml:space="preserve"> 1</w:t>
      </w:r>
      <w:r w:rsidRPr="00E225A9">
        <w:rPr>
          <w:b/>
        </w:rPr>
        <w:t>:</w:t>
      </w:r>
      <w:r>
        <w:t xml:space="preserve"> S</w:t>
      </w:r>
      <w:r w:rsidRPr="00E225A9">
        <w:t xml:space="preserve">ignalling of the SCell measurement information from during IDLE </w:t>
      </w:r>
      <w:r>
        <w:t xml:space="preserve">mode takes place as </w:t>
      </w:r>
      <w:r w:rsidRPr="00E225A9">
        <w:t>part of UE information procedure (</w:t>
      </w:r>
      <w:r w:rsidRPr="00AF0E97">
        <w:rPr>
          <w:i/>
        </w:rPr>
        <w:t>UEInformationRequest</w:t>
      </w:r>
      <w:r w:rsidRPr="00E225A9">
        <w:t xml:space="preserve"> and </w:t>
      </w:r>
      <w:r w:rsidRPr="00AF0E97">
        <w:rPr>
          <w:i/>
        </w:rPr>
        <w:t>UEInformationResponse</w:t>
      </w:r>
      <w:r w:rsidRPr="00E225A9">
        <w:t xml:space="preserve"> messaging) after the RR</w:t>
      </w:r>
      <w:r>
        <w:t>C connection was established.</w:t>
      </w:r>
    </w:p>
    <w:p w14:paraId="6EAA9E1D" w14:textId="2280BBD1" w:rsidR="001A7FF3" w:rsidRDefault="001A7FF3" w:rsidP="00CD4C7B"/>
    <w:p w14:paraId="2D04B689" w14:textId="77777777" w:rsidR="001A7FF3" w:rsidRPr="006E13D1" w:rsidRDefault="001A7FF3" w:rsidP="001A7FF3">
      <w:pPr>
        <w:pStyle w:val="Heading1"/>
        <w:jc w:val="both"/>
      </w:pPr>
      <w:r w:rsidRPr="006E13D1">
        <w:t>References</w:t>
      </w:r>
    </w:p>
    <w:p w14:paraId="748124A0" w14:textId="77777777" w:rsidR="001A7FF3" w:rsidRDefault="001A7FF3" w:rsidP="001A7FF3">
      <w:pPr>
        <w:numPr>
          <w:ilvl w:val="0"/>
          <w:numId w:val="4"/>
        </w:numPr>
        <w:overflowPunct w:val="0"/>
        <w:autoSpaceDE w:val="0"/>
        <w:autoSpaceDN w:val="0"/>
        <w:adjustRightInd w:val="0"/>
        <w:jc w:val="both"/>
        <w:textAlignment w:val="baseline"/>
        <w:rPr>
          <w:sz w:val="18"/>
        </w:rPr>
      </w:pPr>
      <w:bookmarkStart w:id="3" w:name="_Ref510250010"/>
      <w:bookmarkStart w:id="4" w:name="_Ref75086397"/>
      <w:r w:rsidRPr="00D231A0">
        <w:rPr>
          <w:sz w:val="18"/>
        </w:rPr>
        <w:t>RP-170805</w:t>
      </w:r>
      <w:r>
        <w:rPr>
          <w:sz w:val="18"/>
        </w:rPr>
        <w:t>, “</w:t>
      </w:r>
      <w:r w:rsidRPr="00D231A0">
        <w:rPr>
          <w:i/>
          <w:sz w:val="18"/>
        </w:rPr>
        <w:t xml:space="preserve">Enhancing </w:t>
      </w:r>
      <w:r>
        <w:rPr>
          <w:i/>
          <w:sz w:val="18"/>
        </w:rPr>
        <w:t xml:space="preserve">LTE </w:t>
      </w:r>
      <w:r w:rsidRPr="00D231A0">
        <w:rPr>
          <w:i/>
          <w:sz w:val="18"/>
        </w:rPr>
        <w:t>CA Utilizatio</w:t>
      </w:r>
      <w:r w:rsidRPr="00723ECB">
        <w:rPr>
          <w:sz w:val="18"/>
        </w:rPr>
        <w:t>n”</w:t>
      </w:r>
      <w:r>
        <w:rPr>
          <w:sz w:val="18"/>
        </w:rPr>
        <w:t>,</w:t>
      </w:r>
      <w:r w:rsidRPr="00723ECB">
        <w:rPr>
          <w:sz w:val="18"/>
        </w:rPr>
        <w:t xml:space="preserve"> RAN2 3GPP</w:t>
      </w:r>
      <w:r>
        <w:rPr>
          <w:i/>
          <w:sz w:val="18"/>
        </w:rPr>
        <w:t xml:space="preserve"> </w:t>
      </w:r>
      <w:r w:rsidRPr="00D231A0">
        <w:rPr>
          <w:sz w:val="18"/>
        </w:rPr>
        <w:t>Work Item</w:t>
      </w:r>
      <w:r>
        <w:rPr>
          <w:sz w:val="18"/>
        </w:rPr>
        <w:t xml:space="preserve"> Description</w:t>
      </w:r>
      <w:bookmarkEnd w:id="3"/>
    </w:p>
    <w:p w14:paraId="1966F2AE" w14:textId="5CB7A41F" w:rsidR="001A7FF3" w:rsidRDefault="002F1684" w:rsidP="002F1684">
      <w:pPr>
        <w:numPr>
          <w:ilvl w:val="0"/>
          <w:numId w:val="4"/>
        </w:numPr>
        <w:overflowPunct w:val="0"/>
        <w:autoSpaceDE w:val="0"/>
        <w:autoSpaceDN w:val="0"/>
        <w:adjustRightInd w:val="0"/>
        <w:jc w:val="both"/>
        <w:textAlignment w:val="baseline"/>
        <w:rPr>
          <w:sz w:val="18"/>
        </w:rPr>
      </w:pPr>
      <w:bookmarkStart w:id="5" w:name="_Ref510249965"/>
      <w:r>
        <w:rPr>
          <w:sz w:val="18"/>
        </w:rPr>
        <w:t>R2-1707819</w:t>
      </w:r>
      <w:r w:rsidR="001A7FF3">
        <w:rPr>
          <w:sz w:val="18"/>
        </w:rPr>
        <w:t xml:space="preserve"> “</w:t>
      </w:r>
      <w:r w:rsidRPr="002F1684">
        <w:rPr>
          <w:i/>
          <w:sz w:val="18"/>
        </w:rPr>
        <w:t>Analysis of SCell setup delay</w:t>
      </w:r>
      <w:r w:rsidR="001A7FF3">
        <w:rPr>
          <w:sz w:val="18"/>
        </w:rPr>
        <w:t xml:space="preserve">”, </w:t>
      </w:r>
      <w:r w:rsidR="001A7FF3" w:rsidRPr="00EF484D">
        <w:rPr>
          <w:sz w:val="18"/>
        </w:rPr>
        <w:t>Nokia, Nokia Shanghai Bell</w:t>
      </w:r>
      <w:bookmarkEnd w:id="5"/>
    </w:p>
    <w:bookmarkEnd w:id="4"/>
    <w:p w14:paraId="3FB20F60" w14:textId="77777777" w:rsidR="001A7FF3" w:rsidRDefault="001A7FF3" w:rsidP="00CD4C7B"/>
    <w:sectPr w:rsidR="001A7FF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CE3119" w14:textId="77777777" w:rsidR="005466DD" w:rsidRDefault="005466DD">
      <w:r>
        <w:separator/>
      </w:r>
    </w:p>
  </w:endnote>
  <w:endnote w:type="continuationSeparator" w:id="0">
    <w:p w14:paraId="5B027AAD" w14:textId="77777777" w:rsidR="005466DD" w:rsidRDefault="00546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44703" w14:textId="77777777" w:rsidR="005466DD" w:rsidRDefault="005466DD">
      <w:r>
        <w:separator/>
      </w:r>
    </w:p>
  </w:footnote>
  <w:footnote w:type="continuationSeparator" w:id="0">
    <w:p w14:paraId="5DA08FB0" w14:textId="77777777" w:rsidR="005466DD" w:rsidRDefault="00546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8F1EBB"/>
    <w:multiLevelType w:val="hybridMultilevel"/>
    <w:tmpl w:val="5AE0B196"/>
    <w:lvl w:ilvl="0" w:tplc="42D8CE5E">
      <w:start w:val="1"/>
      <w:numFmt w:val="bullet"/>
      <w:lvlText w:val="•"/>
      <w:lvlJc w:val="left"/>
      <w:pPr>
        <w:tabs>
          <w:tab w:val="num" w:pos="720"/>
        </w:tabs>
        <w:ind w:left="720" w:hanging="360"/>
      </w:pPr>
      <w:rPr>
        <w:rFonts w:ascii="Arial" w:hAnsi="Arial" w:hint="default"/>
      </w:rPr>
    </w:lvl>
    <w:lvl w:ilvl="1" w:tplc="6B867F10" w:tentative="1">
      <w:start w:val="1"/>
      <w:numFmt w:val="bullet"/>
      <w:lvlText w:val="•"/>
      <w:lvlJc w:val="left"/>
      <w:pPr>
        <w:tabs>
          <w:tab w:val="num" w:pos="1440"/>
        </w:tabs>
        <w:ind w:left="1440" w:hanging="360"/>
      </w:pPr>
      <w:rPr>
        <w:rFonts w:ascii="Arial" w:hAnsi="Arial" w:hint="default"/>
      </w:rPr>
    </w:lvl>
    <w:lvl w:ilvl="2" w:tplc="25465BCA" w:tentative="1">
      <w:start w:val="1"/>
      <w:numFmt w:val="bullet"/>
      <w:lvlText w:val="•"/>
      <w:lvlJc w:val="left"/>
      <w:pPr>
        <w:tabs>
          <w:tab w:val="num" w:pos="2160"/>
        </w:tabs>
        <w:ind w:left="2160" w:hanging="360"/>
      </w:pPr>
      <w:rPr>
        <w:rFonts w:ascii="Arial" w:hAnsi="Arial" w:hint="default"/>
      </w:rPr>
    </w:lvl>
    <w:lvl w:ilvl="3" w:tplc="CDEC6D2E" w:tentative="1">
      <w:start w:val="1"/>
      <w:numFmt w:val="bullet"/>
      <w:lvlText w:val="•"/>
      <w:lvlJc w:val="left"/>
      <w:pPr>
        <w:tabs>
          <w:tab w:val="num" w:pos="2880"/>
        </w:tabs>
        <w:ind w:left="2880" w:hanging="360"/>
      </w:pPr>
      <w:rPr>
        <w:rFonts w:ascii="Arial" w:hAnsi="Arial" w:hint="default"/>
      </w:rPr>
    </w:lvl>
    <w:lvl w:ilvl="4" w:tplc="F926F2CA" w:tentative="1">
      <w:start w:val="1"/>
      <w:numFmt w:val="bullet"/>
      <w:lvlText w:val="•"/>
      <w:lvlJc w:val="left"/>
      <w:pPr>
        <w:tabs>
          <w:tab w:val="num" w:pos="3600"/>
        </w:tabs>
        <w:ind w:left="3600" w:hanging="360"/>
      </w:pPr>
      <w:rPr>
        <w:rFonts w:ascii="Arial" w:hAnsi="Arial" w:hint="default"/>
      </w:rPr>
    </w:lvl>
    <w:lvl w:ilvl="5" w:tplc="B4B4F252" w:tentative="1">
      <w:start w:val="1"/>
      <w:numFmt w:val="bullet"/>
      <w:lvlText w:val="•"/>
      <w:lvlJc w:val="left"/>
      <w:pPr>
        <w:tabs>
          <w:tab w:val="num" w:pos="4320"/>
        </w:tabs>
        <w:ind w:left="4320" w:hanging="360"/>
      </w:pPr>
      <w:rPr>
        <w:rFonts w:ascii="Arial" w:hAnsi="Arial" w:hint="default"/>
      </w:rPr>
    </w:lvl>
    <w:lvl w:ilvl="6" w:tplc="D452D750" w:tentative="1">
      <w:start w:val="1"/>
      <w:numFmt w:val="bullet"/>
      <w:lvlText w:val="•"/>
      <w:lvlJc w:val="left"/>
      <w:pPr>
        <w:tabs>
          <w:tab w:val="num" w:pos="5040"/>
        </w:tabs>
        <w:ind w:left="5040" w:hanging="360"/>
      </w:pPr>
      <w:rPr>
        <w:rFonts w:ascii="Arial" w:hAnsi="Arial" w:hint="default"/>
      </w:rPr>
    </w:lvl>
    <w:lvl w:ilvl="7" w:tplc="A4AA8FBA" w:tentative="1">
      <w:start w:val="1"/>
      <w:numFmt w:val="bullet"/>
      <w:lvlText w:val="•"/>
      <w:lvlJc w:val="left"/>
      <w:pPr>
        <w:tabs>
          <w:tab w:val="num" w:pos="5760"/>
        </w:tabs>
        <w:ind w:left="5760" w:hanging="360"/>
      </w:pPr>
      <w:rPr>
        <w:rFonts w:ascii="Arial" w:hAnsi="Arial" w:hint="default"/>
      </w:rPr>
    </w:lvl>
    <w:lvl w:ilvl="8" w:tplc="46EEA0C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F1C3310"/>
    <w:multiLevelType w:val="hybridMultilevel"/>
    <w:tmpl w:val="75409B10"/>
    <w:lvl w:ilvl="0" w:tplc="20D88914">
      <w:start w:val="1"/>
      <w:numFmt w:val="bullet"/>
      <w:lvlText w:val="•"/>
      <w:lvlJc w:val="left"/>
      <w:pPr>
        <w:tabs>
          <w:tab w:val="num" w:pos="720"/>
        </w:tabs>
        <w:ind w:left="720" w:hanging="360"/>
      </w:pPr>
      <w:rPr>
        <w:rFonts w:ascii="Arial" w:hAnsi="Arial" w:hint="default"/>
      </w:rPr>
    </w:lvl>
    <w:lvl w:ilvl="1" w:tplc="4A3C4D80" w:tentative="1">
      <w:start w:val="1"/>
      <w:numFmt w:val="bullet"/>
      <w:lvlText w:val="•"/>
      <w:lvlJc w:val="left"/>
      <w:pPr>
        <w:tabs>
          <w:tab w:val="num" w:pos="1440"/>
        </w:tabs>
        <w:ind w:left="1440" w:hanging="360"/>
      </w:pPr>
      <w:rPr>
        <w:rFonts w:ascii="Arial" w:hAnsi="Arial" w:hint="default"/>
      </w:rPr>
    </w:lvl>
    <w:lvl w:ilvl="2" w:tplc="B4D03824" w:tentative="1">
      <w:start w:val="1"/>
      <w:numFmt w:val="bullet"/>
      <w:lvlText w:val="•"/>
      <w:lvlJc w:val="left"/>
      <w:pPr>
        <w:tabs>
          <w:tab w:val="num" w:pos="2160"/>
        </w:tabs>
        <w:ind w:left="2160" w:hanging="360"/>
      </w:pPr>
      <w:rPr>
        <w:rFonts w:ascii="Arial" w:hAnsi="Arial" w:hint="default"/>
      </w:rPr>
    </w:lvl>
    <w:lvl w:ilvl="3" w:tplc="49A00E20" w:tentative="1">
      <w:start w:val="1"/>
      <w:numFmt w:val="bullet"/>
      <w:lvlText w:val="•"/>
      <w:lvlJc w:val="left"/>
      <w:pPr>
        <w:tabs>
          <w:tab w:val="num" w:pos="2880"/>
        </w:tabs>
        <w:ind w:left="2880" w:hanging="360"/>
      </w:pPr>
      <w:rPr>
        <w:rFonts w:ascii="Arial" w:hAnsi="Arial" w:hint="default"/>
      </w:rPr>
    </w:lvl>
    <w:lvl w:ilvl="4" w:tplc="45BEF7E4" w:tentative="1">
      <w:start w:val="1"/>
      <w:numFmt w:val="bullet"/>
      <w:lvlText w:val="•"/>
      <w:lvlJc w:val="left"/>
      <w:pPr>
        <w:tabs>
          <w:tab w:val="num" w:pos="3600"/>
        </w:tabs>
        <w:ind w:left="3600" w:hanging="360"/>
      </w:pPr>
      <w:rPr>
        <w:rFonts w:ascii="Arial" w:hAnsi="Arial" w:hint="default"/>
      </w:rPr>
    </w:lvl>
    <w:lvl w:ilvl="5" w:tplc="71ECC904" w:tentative="1">
      <w:start w:val="1"/>
      <w:numFmt w:val="bullet"/>
      <w:lvlText w:val="•"/>
      <w:lvlJc w:val="left"/>
      <w:pPr>
        <w:tabs>
          <w:tab w:val="num" w:pos="4320"/>
        </w:tabs>
        <w:ind w:left="4320" w:hanging="360"/>
      </w:pPr>
      <w:rPr>
        <w:rFonts w:ascii="Arial" w:hAnsi="Arial" w:hint="default"/>
      </w:rPr>
    </w:lvl>
    <w:lvl w:ilvl="6" w:tplc="3898A748" w:tentative="1">
      <w:start w:val="1"/>
      <w:numFmt w:val="bullet"/>
      <w:lvlText w:val="•"/>
      <w:lvlJc w:val="left"/>
      <w:pPr>
        <w:tabs>
          <w:tab w:val="num" w:pos="5040"/>
        </w:tabs>
        <w:ind w:left="5040" w:hanging="360"/>
      </w:pPr>
      <w:rPr>
        <w:rFonts w:ascii="Arial" w:hAnsi="Arial" w:hint="default"/>
      </w:rPr>
    </w:lvl>
    <w:lvl w:ilvl="7" w:tplc="202CACAC" w:tentative="1">
      <w:start w:val="1"/>
      <w:numFmt w:val="bullet"/>
      <w:lvlText w:val="•"/>
      <w:lvlJc w:val="left"/>
      <w:pPr>
        <w:tabs>
          <w:tab w:val="num" w:pos="5760"/>
        </w:tabs>
        <w:ind w:left="5760" w:hanging="360"/>
      </w:pPr>
      <w:rPr>
        <w:rFonts w:ascii="Arial" w:hAnsi="Arial" w:hint="default"/>
      </w:rPr>
    </w:lvl>
    <w:lvl w:ilvl="8" w:tplc="F04294A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74BE7780"/>
    <w:multiLevelType w:val="hybridMultilevel"/>
    <w:tmpl w:val="6A162644"/>
    <w:lvl w:ilvl="0" w:tplc="75220242">
      <w:start w:val="1"/>
      <w:numFmt w:val="bullet"/>
      <w:lvlText w:val="•"/>
      <w:lvlJc w:val="left"/>
      <w:pPr>
        <w:tabs>
          <w:tab w:val="num" w:pos="720"/>
        </w:tabs>
        <w:ind w:left="720" w:hanging="360"/>
      </w:pPr>
      <w:rPr>
        <w:rFonts w:ascii="Arial" w:hAnsi="Arial" w:hint="default"/>
      </w:rPr>
    </w:lvl>
    <w:lvl w:ilvl="1" w:tplc="E736C1A4" w:tentative="1">
      <w:start w:val="1"/>
      <w:numFmt w:val="bullet"/>
      <w:lvlText w:val="•"/>
      <w:lvlJc w:val="left"/>
      <w:pPr>
        <w:tabs>
          <w:tab w:val="num" w:pos="1440"/>
        </w:tabs>
        <w:ind w:left="1440" w:hanging="360"/>
      </w:pPr>
      <w:rPr>
        <w:rFonts w:ascii="Arial" w:hAnsi="Arial" w:hint="default"/>
      </w:rPr>
    </w:lvl>
    <w:lvl w:ilvl="2" w:tplc="2F30B2C8" w:tentative="1">
      <w:start w:val="1"/>
      <w:numFmt w:val="bullet"/>
      <w:lvlText w:val="•"/>
      <w:lvlJc w:val="left"/>
      <w:pPr>
        <w:tabs>
          <w:tab w:val="num" w:pos="2160"/>
        </w:tabs>
        <w:ind w:left="2160" w:hanging="360"/>
      </w:pPr>
      <w:rPr>
        <w:rFonts w:ascii="Arial" w:hAnsi="Arial" w:hint="default"/>
      </w:rPr>
    </w:lvl>
    <w:lvl w:ilvl="3" w:tplc="2FD68800" w:tentative="1">
      <w:start w:val="1"/>
      <w:numFmt w:val="bullet"/>
      <w:lvlText w:val="•"/>
      <w:lvlJc w:val="left"/>
      <w:pPr>
        <w:tabs>
          <w:tab w:val="num" w:pos="2880"/>
        </w:tabs>
        <w:ind w:left="2880" w:hanging="360"/>
      </w:pPr>
      <w:rPr>
        <w:rFonts w:ascii="Arial" w:hAnsi="Arial" w:hint="default"/>
      </w:rPr>
    </w:lvl>
    <w:lvl w:ilvl="4" w:tplc="F6909B18" w:tentative="1">
      <w:start w:val="1"/>
      <w:numFmt w:val="bullet"/>
      <w:lvlText w:val="•"/>
      <w:lvlJc w:val="left"/>
      <w:pPr>
        <w:tabs>
          <w:tab w:val="num" w:pos="3600"/>
        </w:tabs>
        <w:ind w:left="3600" w:hanging="360"/>
      </w:pPr>
      <w:rPr>
        <w:rFonts w:ascii="Arial" w:hAnsi="Arial" w:hint="default"/>
      </w:rPr>
    </w:lvl>
    <w:lvl w:ilvl="5" w:tplc="5E1CE6FA" w:tentative="1">
      <w:start w:val="1"/>
      <w:numFmt w:val="bullet"/>
      <w:lvlText w:val="•"/>
      <w:lvlJc w:val="left"/>
      <w:pPr>
        <w:tabs>
          <w:tab w:val="num" w:pos="4320"/>
        </w:tabs>
        <w:ind w:left="4320" w:hanging="360"/>
      </w:pPr>
      <w:rPr>
        <w:rFonts w:ascii="Arial" w:hAnsi="Arial" w:hint="default"/>
      </w:rPr>
    </w:lvl>
    <w:lvl w:ilvl="6" w:tplc="A678C242" w:tentative="1">
      <w:start w:val="1"/>
      <w:numFmt w:val="bullet"/>
      <w:lvlText w:val="•"/>
      <w:lvlJc w:val="left"/>
      <w:pPr>
        <w:tabs>
          <w:tab w:val="num" w:pos="5040"/>
        </w:tabs>
        <w:ind w:left="5040" w:hanging="360"/>
      </w:pPr>
      <w:rPr>
        <w:rFonts w:ascii="Arial" w:hAnsi="Arial" w:hint="default"/>
      </w:rPr>
    </w:lvl>
    <w:lvl w:ilvl="7" w:tplc="D28A793A" w:tentative="1">
      <w:start w:val="1"/>
      <w:numFmt w:val="bullet"/>
      <w:lvlText w:val="•"/>
      <w:lvlJc w:val="left"/>
      <w:pPr>
        <w:tabs>
          <w:tab w:val="num" w:pos="5760"/>
        </w:tabs>
        <w:ind w:left="5760" w:hanging="360"/>
      </w:pPr>
      <w:rPr>
        <w:rFonts w:ascii="Arial" w:hAnsi="Arial" w:hint="default"/>
      </w:rPr>
    </w:lvl>
    <w:lvl w:ilvl="8" w:tplc="4CCE10D6"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0165"/>
    <w:rsid w:val="00020A11"/>
    <w:rsid w:val="00033397"/>
    <w:rsid w:val="0003643A"/>
    <w:rsid w:val="00040095"/>
    <w:rsid w:val="000441E3"/>
    <w:rsid w:val="00047018"/>
    <w:rsid w:val="00067F3F"/>
    <w:rsid w:val="00080512"/>
    <w:rsid w:val="00090468"/>
    <w:rsid w:val="000B7BCF"/>
    <w:rsid w:val="000C522B"/>
    <w:rsid w:val="000C6357"/>
    <w:rsid w:val="000D58AB"/>
    <w:rsid w:val="000E4CB9"/>
    <w:rsid w:val="0010354C"/>
    <w:rsid w:val="00112F1A"/>
    <w:rsid w:val="00145075"/>
    <w:rsid w:val="00154C67"/>
    <w:rsid w:val="001741A0"/>
    <w:rsid w:val="00175FA0"/>
    <w:rsid w:val="00194CD0"/>
    <w:rsid w:val="001A7FF3"/>
    <w:rsid w:val="001B49C9"/>
    <w:rsid w:val="001C1285"/>
    <w:rsid w:val="001C4F79"/>
    <w:rsid w:val="001F168B"/>
    <w:rsid w:val="001F7831"/>
    <w:rsid w:val="00204045"/>
    <w:rsid w:val="0020712B"/>
    <w:rsid w:val="0022606D"/>
    <w:rsid w:val="00231728"/>
    <w:rsid w:val="00262F0D"/>
    <w:rsid w:val="002747EC"/>
    <w:rsid w:val="002855BF"/>
    <w:rsid w:val="0028570A"/>
    <w:rsid w:val="002C3E54"/>
    <w:rsid w:val="002C62EF"/>
    <w:rsid w:val="002E2B25"/>
    <w:rsid w:val="002F0D22"/>
    <w:rsid w:val="002F1684"/>
    <w:rsid w:val="00314F59"/>
    <w:rsid w:val="003172DC"/>
    <w:rsid w:val="00325AE3"/>
    <w:rsid w:val="00326069"/>
    <w:rsid w:val="0035462D"/>
    <w:rsid w:val="00364B41"/>
    <w:rsid w:val="00381259"/>
    <w:rsid w:val="003A3899"/>
    <w:rsid w:val="003B40AD"/>
    <w:rsid w:val="003C4387"/>
    <w:rsid w:val="003C4E37"/>
    <w:rsid w:val="003E16BE"/>
    <w:rsid w:val="003F1268"/>
    <w:rsid w:val="004006E8"/>
    <w:rsid w:val="00401855"/>
    <w:rsid w:val="00406727"/>
    <w:rsid w:val="0047713C"/>
    <w:rsid w:val="00477455"/>
    <w:rsid w:val="004A1F7B"/>
    <w:rsid w:val="004B2409"/>
    <w:rsid w:val="004C44D2"/>
    <w:rsid w:val="004D3578"/>
    <w:rsid w:val="004D380D"/>
    <w:rsid w:val="004E0EBE"/>
    <w:rsid w:val="004E213A"/>
    <w:rsid w:val="004F21C3"/>
    <w:rsid w:val="005019A7"/>
    <w:rsid w:val="00503171"/>
    <w:rsid w:val="00506C28"/>
    <w:rsid w:val="00534DA0"/>
    <w:rsid w:val="00543E6C"/>
    <w:rsid w:val="005466DD"/>
    <w:rsid w:val="00551DF5"/>
    <w:rsid w:val="005627C7"/>
    <w:rsid w:val="00565087"/>
    <w:rsid w:val="0056573F"/>
    <w:rsid w:val="0059049D"/>
    <w:rsid w:val="00591BDE"/>
    <w:rsid w:val="00611566"/>
    <w:rsid w:val="00646D99"/>
    <w:rsid w:val="00656910"/>
    <w:rsid w:val="006C4702"/>
    <w:rsid w:val="006C66D8"/>
    <w:rsid w:val="006D1E24"/>
    <w:rsid w:val="006E1417"/>
    <w:rsid w:val="006E7BAD"/>
    <w:rsid w:val="006F6A2C"/>
    <w:rsid w:val="00710201"/>
    <w:rsid w:val="007342B5"/>
    <w:rsid w:val="00734A5B"/>
    <w:rsid w:val="00744E76"/>
    <w:rsid w:val="00757D40"/>
    <w:rsid w:val="00781F0F"/>
    <w:rsid w:val="0078531F"/>
    <w:rsid w:val="0078608C"/>
    <w:rsid w:val="0078727C"/>
    <w:rsid w:val="0079049D"/>
    <w:rsid w:val="00793DC5"/>
    <w:rsid w:val="007A7D76"/>
    <w:rsid w:val="007B18D8"/>
    <w:rsid w:val="007C095F"/>
    <w:rsid w:val="007D159F"/>
    <w:rsid w:val="007F5367"/>
    <w:rsid w:val="008028A4"/>
    <w:rsid w:val="00813245"/>
    <w:rsid w:val="0081349C"/>
    <w:rsid w:val="00847F2D"/>
    <w:rsid w:val="008768CA"/>
    <w:rsid w:val="00877EF9"/>
    <w:rsid w:val="00880559"/>
    <w:rsid w:val="00896C41"/>
    <w:rsid w:val="008B5306"/>
    <w:rsid w:val="008D2E4D"/>
    <w:rsid w:val="0090271F"/>
    <w:rsid w:val="00902DB9"/>
    <w:rsid w:val="0090466A"/>
    <w:rsid w:val="00914EF1"/>
    <w:rsid w:val="009253AB"/>
    <w:rsid w:val="00936071"/>
    <w:rsid w:val="00940212"/>
    <w:rsid w:val="00942EC2"/>
    <w:rsid w:val="00961B32"/>
    <w:rsid w:val="00970DB3"/>
    <w:rsid w:val="00974BB0"/>
    <w:rsid w:val="009979DE"/>
    <w:rsid w:val="009A0AF3"/>
    <w:rsid w:val="009A1E2D"/>
    <w:rsid w:val="009B07CD"/>
    <w:rsid w:val="009C19E9"/>
    <w:rsid w:val="009D74A6"/>
    <w:rsid w:val="009F0A3D"/>
    <w:rsid w:val="00A10F02"/>
    <w:rsid w:val="00A204CA"/>
    <w:rsid w:val="00A53724"/>
    <w:rsid w:val="00A57D58"/>
    <w:rsid w:val="00A65725"/>
    <w:rsid w:val="00A82346"/>
    <w:rsid w:val="00A9671C"/>
    <w:rsid w:val="00AA06E1"/>
    <w:rsid w:val="00AA1553"/>
    <w:rsid w:val="00AE2FCD"/>
    <w:rsid w:val="00AE3473"/>
    <w:rsid w:val="00AF276E"/>
    <w:rsid w:val="00AF6FFC"/>
    <w:rsid w:val="00B05962"/>
    <w:rsid w:val="00B15449"/>
    <w:rsid w:val="00B27303"/>
    <w:rsid w:val="00B47FD1"/>
    <w:rsid w:val="00B516BB"/>
    <w:rsid w:val="00BB74BC"/>
    <w:rsid w:val="00BC3555"/>
    <w:rsid w:val="00C12B51"/>
    <w:rsid w:val="00C24650"/>
    <w:rsid w:val="00C33079"/>
    <w:rsid w:val="00C5794E"/>
    <w:rsid w:val="00C83A13"/>
    <w:rsid w:val="00C85B2B"/>
    <w:rsid w:val="00C9068C"/>
    <w:rsid w:val="00C92967"/>
    <w:rsid w:val="00CA3D0C"/>
    <w:rsid w:val="00CA654B"/>
    <w:rsid w:val="00CC23C8"/>
    <w:rsid w:val="00CD4C7B"/>
    <w:rsid w:val="00D141B3"/>
    <w:rsid w:val="00D25322"/>
    <w:rsid w:val="00D33BE3"/>
    <w:rsid w:val="00D36E5E"/>
    <w:rsid w:val="00D3792D"/>
    <w:rsid w:val="00D41D07"/>
    <w:rsid w:val="00D47842"/>
    <w:rsid w:val="00D53E00"/>
    <w:rsid w:val="00D55E47"/>
    <w:rsid w:val="00D62E19"/>
    <w:rsid w:val="00D738D6"/>
    <w:rsid w:val="00D80795"/>
    <w:rsid w:val="00D854BE"/>
    <w:rsid w:val="00D87E00"/>
    <w:rsid w:val="00D9134D"/>
    <w:rsid w:val="00D96D11"/>
    <w:rsid w:val="00DA7A03"/>
    <w:rsid w:val="00DA7FB1"/>
    <w:rsid w:val="00DB0DB8"/>
    <w:rsid w:val="00DB1818"/>
    <w:rsid w:val="00DC01F6"/>
    <w:rsid w:val="00DC309B"/>
    <w:rsid w:val="00DC4DA2"/>
    <w:rsid w:val="00DD6EFC"/>
    <w:rsid w:val="00E02C3B"/>
    <w:rsid w:val="00E225A9"/>
    <w:rsid w:val="00E5472F"/>
    <w:rsid w:val="00E62835"/>
    <w:rsid w:val="00E77645"/>
    <w:rsid w:val="00E83697"/>
    <w:rsid w:val="00EA1F55"/>
    <w:rsid w:val="00EC4A25"/>
    <w:rsid w:val="00EC54D1"/>
    <w:rsid w:val="00F025A2"/>
    <w:rsid w:val="00F07388"/>
    <w:rsid w:val="00F2026E"/>
    <w:rsid w:val="00F2210A"/>
    <w:rsid w:val="00F37743"/>
    <w:rsid w:val="00F54A3D"/>
    <w:rsid w:val="00F54CB0"/>
    <w:rsid w:val="00F653B8"/>
    <w:rsid w:val="00F703B4"/>
    <w:rsid w:val="00F71B89"/>
    <w:rsid w:val="00F7353C"/>
    <w:rsid w:val="00F76F8F"/>
    <w:rsid w:val="00FA1266"/>
    <w:rsid w:val="00FB36FA"/>
    <w:rsid w:val="00FC1192"/>
    <w:rsid w:val="00FC3A48"/>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Heading1Char">
    <w:name w:val="Heading 1 Char"/>
    <w:basedOn w:val="DefaultParagraphFont"/>
    <w:link w:val="Heading1"/>
    <w:rsid w:val="001A7FF3"/>
    <w:rPr>
      <w:rFonts w:ascii="Arial" w:hAnsi="Arial"/>
      <w:sz w:val="36"/>
      <w:lang w:eastAsia="en-US"/>
    </w:rPr>
  </w:style>
  <w:style w:type="paragraph" w:styleId="Caption">
    <w:name w:val="caption"/>
    <w:basedOn w:val="Normal"/>
    <w:next w:val="Normal"/>
    <w:unhideWhenUsed/>
    <w:qFormat/>
    <w:rsid w:val="009253AB"/>
    <w:pPr>
      <w:spacing w:after="200"/>
    </w:pPr>
    <w:rPr>
      <w:i/>
      <w:iCs/>
      <w:color w:val="44546A" w:themeColor="text2"/>
      <w:sz w:val="18"/>
      <w:szCs w:val="18"/>
    </w:rPr>
  </w:style>
  <w:style w:type="table" w:styleId="TableGrid">
    <w:name w:val="Table Grid"/>
    <w:basedOn w:val="TableNormal"/>
    <w:rsid w:val="00D41D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67F3F"/>
    <w:rPr>
      <w:sz w:val="16"/>
      <w:szCs w:val="16"/>
    </w:rPr>
  </w:style>
  <w:style w:type="paragraph" w:styleId="CommentText">
    <w:name w:val="annotation text"/>
    <w:basedOn w:val="Normal"/>
    <w:link w:val="CommentTextChar"/>
    <w:rsid w:val="00067F3F"/>
  </w:style>
  <w:style w:type="character" w:customStyle="1" w:styleId="CommentTextChar">
    <w:name w:val="Comment Text Char"/>
    <w:basedOn w:val="DefaultParagraphFont"/>
    <w:link w:val="CommentText"/>
    <w:rsid w:val="00067F3F"/>
    <w:rPr>
      <w:lang w:eastAsia="en-US"/>
    </w:rPr>
  </w:style>
  <w:style w:type="paragraph" w:styleId="CommentSubject">
    <w:name w:val="annotation subject"/>
    <w:basedOn w:val="CommentText"/>
    <w:next w:val="CommentText"/>
    <w:link w:val="CommentSubjectChar"/>
    <w:rsid w:val="00067F3F"/>
    <w:rPr>
      <w:b/>
      <w:bCs/>
    </w:rPr>
  </w:style>
  <w:style w:type="character" w:customStyle="1" w:styleId="CommentSubjectChar">
    <w:name w:val="Comment Subject Char"/>
    <w:basedOn w:val="CommentTextChar"/>
    <w:link w:val="CommentSubject"/>
    <w:rsid w:val="00067F3F"/>
    <w:rPr>
      <w:b/>
      <w:bCs/>
      <w:lang w:eastAsia="en-US"/>
    </w:rPr>
  </w:style>
  <w:style w:type="character" w:customStyle="1" w:styleId="THChar">
    <w:name w:val="TH Char"/>
    <w:link w:val="TH"/>
    <w:rsid w:val="009A1E2D"/>
    <w:rPr>
      <w:rFonts w:ascii="Arial" w:hAnsi="Arial"/>
      <w:b/>
      <w:lang w:eastAsia="en-US"/>
    </w:rPr>
  </w:style>
  <w:style w:type="character" w:customStyle="1" w:styleId="PLChar">
    <w:name w:val="PL Char"/>
    <w:link w:val="PL"/>
    <w:rsid w:val="009A1E2D"/>
    <w:rPr>
      <w:rFonts w:ascii="Courier New" w:hAnsi="Courier New"/>
      <w:noProof/>
      <w:sz w:val="16"/>
      <w:lang w:eastAsia="en-US"/>
    </w:rPr>
  </w:style>
  <w:style w:type="character" w:customStyle="1" w:styleId="B1Char">
    <w:name w:val="B1 Char"/>
    <w:link w:val="B1"/>
    <w:rsid w:val="009A1E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57222">
      <w:bodyDiv w:val="1"/>
      <w:marLeft w:val="0"/>
      <w:marRight w:val="0"/>
      <w:marTop w:val="0"/>
      <w:marBottom w:val="0"/>
      <w:divBdr>
        <w:top w:val="none" w:sz="0" w:space="0" w:color="auto"/>
        <w:left w:val="none" w:sz="0" w:space="0" w:color="auto"/>
        <w:bottom w:val="none" w:sz="0" w:space="0" w:color="auto"/>
        <w:right w:val="none" w:sz="0" w:space="0" w:color="auto"/>
      </w:divBdr>
    </w:div>
    <w:div w:id="832843242">
      <w:bodyDiv w:val="1"/>
      <w:marLeft w:val="0"/>
      <w:marRight w:val="0"/>
      <w:marTop w:val="0"/>
      <w:marBottom w:val="0"/>
      <w:divBdr>
        <w:top w:val="none" w:sz="0" w:space="0" w:color="auto"/>
        <w:left w:val="none" w:sz="0" w:space="0" w:color="auto"/>
        <w:bottom w:val="none" w:sz="0" w:space="0" w:color="auto"/>
        <w:right w:val="none" w:sz="0" w:space="0" w:color="auto"/>
      </w:divBdr>
      <w:divsChild>
        <w:div w:id="1439518523">
          <w:marLeft w:val="36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8493339">
      <w:bodyDiv w:val="1"/>
      <w:marLeft w:val="0"/>
      <w:marRight w:val="0"/>
      <w:marTop w:val="0"/>
      <w:marBottom w:val="0"/>
      <w:divBdr>
        <w:top w:val="none" w:sz="0" w:space="0" w:color="auto"/>
        <w:left w:val="none" w:sz="0" w:space="0" w:color="auto"/>
        <w:bottom w:val="none" w:sz="0" w:space="0" w:color="auto"/>
        <w:right w:val="none" w:sz="0" w:space="0" w:color="auto"/>
      </w:divBdr>
      <w:divsChild>
        <w:div w:id="481119906">
          <w:marLeft w:val="360"/>
          <w:marRight w:val="0"/>
          <w:marTop w:val="0"/>
          <w:marBottom w:val="120"/>
          <w:divBdr>
            <w:top w:val="none" w:sz="0" w:space="0" w:color="auto"/>
            <w:left w:val="none" w:sz="0" w:space="0" w:color="auto"/>
            <w:bottom w:val="none" w:sz="0" w:space="0" w:color="auto"/>
            <w:right w:val="none" w:sz="0" w:space="0" w:color="auto"/>
          </w:divBdr>
        </w:div>
        <w:div w:id="1382827231">
          <w:marLeft w:val="360"/>
          <w:marRight w:val="0"/>
          <w:marTop w:val="0"/>
          <w:marBottom w:val="120"/>
          <w:divBdr>
            <w:top w:val="none" w:sz="0" w:space="0" w:color="auto"/>
            <w:left w:val="none" w:sz="0" w:space="0" w:color="auto"/>
            <w:bottom w:val="none" w:sz="0" w:space="0" w:color="auto"/>
            <w:right w:val="none" w:sz="0" w:space="0" w:color="auto"/>
          </w:divBdr>
        </w:div>
      </w:divsChild>
    </w:div>
    <w:div w:id="1379818731">
      <w:bodyDiv w:val="1"/>
      <w:marLeft w:val="0"/>
      <w:marRight w:val="0"/>
      <w:marTop w:val="0"/>
      <w:marBottom w:val="0"/>
      <w:divBdr>
        <w:top w:val="none" w:sz="0" w:space="0" w:color="auto"/>
        <w:left w:val="none" w:sz="0" w:space="0" w:color="auto"/>
        <w:bottom w:val="none" w:sz="0" w:space="0" w:color="auto"/>
        <w:right w:val="none" w:sz="0" w:space="0" w:color="auto"/>
      </w:divBdr>
    </w:div>
    <w:div w:id="1506089854">
      <w:bodyDiv w:val="1"/>
      <w:marLeft w:val="0"/>
      <w:marRight w:val="0"/>
      <w:marTop w:val="0"/>
      <w:marBottom w:val="0"/>
      <w:divBdr>
        <w:top w:val="none" w:sz="0" w:space="0" w:color="auto"/>
        <w:left w:val="none" w:sz="0" w:space="0" w:color="auto"/>
        <w:bottom w:val="none" w:sz="0" w:space="0" w:color="auto"/>
        <w:right w:val="none" w:sz="0" w:space="0" w:color="auto"/>
      </w:divBdr>
    </w:div>
    <w:div w:id="2036076881">
      <w:bodyDiv w:val="1"/>
      <w:marLeft w:val="0"/>
      <w:marRight w:val="0"/>
      <w:marTop w:val="0"/>
      <w:marBottom w:val="0"/>
      <w:divBdr>
        <w:top w:val="none" w:sz="0" w:space="0" w:color="auto"/>
        <w:left w:val="none" w:sz="0" w:space="0" w:color="auto"/>
        <w:bottom w:val="none" w:sz="0" w:space="0" w:color="auto"/>
        <w:right w:val="none" w:sz="0" w:space="0" w:color="auto"/>
      </w:divBdr>
    </w:div>
    <w:div w:id="2062362977">
      <w:bodyDiv w:val="1"/>
      <w:marLeft w:val="0"/>
      <w:marRight w:val="0"/>
      <w:marTop w:val="0"/>
      <w:marBottom w:val="0"/>
      <w:divBdr>
        <w:top w:val="none" w:sz="0" w:space="0" w:color="auto"/>
        <w:left w:val="none" w:sz="0" w:space="0" w:color="auto"/>
        <w:bottom w:val="none" w:sz="0" w:space="0" w:color="auto"/>
        <w:right w:val="none" w:sz="0" w:space="0" w:color="auto"/>
      </w:divBdr>
      <w:divsChild>
        <w:div w:id="1468162063">
          <w:marLeft w:val="360"/>
          <w:marRight w:val="0"/>
          <w:marTop w:val="0"/>
          <w:marBottom w:val="120"/>
          <w:divBdr>
            <w:top w:val="none" w:sz="0" w:space="0" w:color="auto"/>
            <w:left w:val="none" w:sz="0" w:space="0" w:color="auto"/>
            <w:bottom w:val="none" w:sz="0" w:space="0" w:color="auto"/>
            <w:right w:val="none" w:sz="0" w:space="0" w:color="auto"/>
          </w:divBdr>
        </w:div>
        <w:div w:id="1879397068">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5AIRPNAIUNRU-859666464-1581</_dlc_DocId>
    <_dlc_DocIdUrl xmlns="71c5aaf6-e6ce-465b-b873-5148d2a4c105">
      <Url>https://nokia.sharepoint.com/sites/c5g/e2earch/_layouts/15/DocIdRedir.aspx?ID=5AIRPNAIUNRU-859666464-1581</Url>
      <Description>5AIRPNAIUNRU-859666464-1581</Description>
    </_dlc_DocIdUrl>
  </documentManagement>
</p:properties>
</file>

<file path=customXml/itemProps1.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4.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3</Pages>
  <Words>648</Words>
  <Characters>3467</Characters>
  <Application>Microsoft Office Word</Application>
  <DocSecurity>0</DocSecurity>
  <Lines>67</Lines>
  <Paragraphs>48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4067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Rapporteur</cp:lastModifiedBy>
  <cp:revision>12</cp:revision>
  <dcterms:created xsi:type="dcterms:W3CDTF">2018-03-31T13:46:00Z</dcterms:created>
  <dcterms:modified xsi:type="dcterms:W3CDTF">2018-04-06T05:41:00Z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404b8f45-c95b-4465-ae39-3012322623b7</vt:lpwstr>
  </property>
</Properties>
</file>